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86492" w14:textId="77777777" w:rsidR="006E4AD1" w:rsidRDefault="006E4AD1" w:rsidP="006E4AD1">
      <w:pPr>
        <w:jc w:val="center"/>
        <w:rPr>
          <w:rFonts w:ascii="ArialNegrita" w:hAnsi="ArialNegrita" w:cs="ArialNegrita"/>
          <w:kern w:val="0"/>
          <w:sz w:val="33"/>
          <w:szCs w:val="33"/>
        </w:rPr>
      </w:pPr>
      <w:r w:rsidRPr="006E4AD1">
        <w:rPr>
          <w:noProof/>
        </w:rPr>
        <w:drawing>
          <wp:inline distT="0" distB="0" distL="0" distR="0" wp14:anchorId="09491130" wp14:editId="63EC6B9B">
            <wp:extent cx="1024128" cy="1006947"/>
            <wp:effectExtent l="0" t="0" r="5080" b="3175"/>
            <wp:docPr id="411632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87" cy="101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D1">
        <w:rPr>
          <w:rFonts w:ascii="ArialNegrita" w:hAnsi="ArialNegrita" w:cs="ArialNegrita"/>
          <w:kern w:val="0"/>
          <w:sz w:val="33"/>
          <w:szCs w:val="33"/>
        </w:rPr>
        <w:t xml:space="preserve"> </w:t>
      </w:r>
    </w:p>
    <w:p w14:paraId="395A3955" w14:textId="45355340" w:rsidR="00B52166" w:rsidRDefault="006E4AD1" w:rsidP="006E4AD1">
      <w:pPr>
        <w:jc w:val="right"/>
      </w:pPr>
      <w:proofErr w:type="gramStart"/>
      <w:r w:rsidRPr="0038537D">
        <w:rPr>
          <w:b/>
          <w:bCs/>
        </w:rPr>
        <w:t>NUC:</w:t>
      </w:r>
      <w:r w:rsidR="00E15DFD" w:rsidRPr="0038537D">
        <w:rPr>
          <w:b/>
          <w:bCs/>
        </w:rPr>
        <w:t>_</w:t>
      </w:r>
      <w:proofErr w:type="gramEnd"/>
      <w:r w:rsidR="00E15DFD" w:rsidRPr="0038537D">
        <w:rPr>
          <w:b/>
          <w:bCs/>
        </w:rPr>
        <w:t>_</w:t>
      </w:r>
      <w:r w:rsidR="00E15DFD">
        <w:t>_________</w:t>
      </w:r>
      <w:r w:rsidRPr="006E4AD1">
        <w:t xml:space="preserve"> </w:t>
      </w:r>
      <w:r>
        <w:t xml:space="preserve">               </w:t>
      </w:r>
    </w:p>
    <w:p w14:paraId="455FAE69" w14:textId="77777777" w:rsidR="006E4AD1" w:rsidRDefault="006E4AD1" w:rsidP="006E4AD1">
      <w:pPr>
        <w:jc w:val="right"/>
      </w:pPr>
    </w:p>
    <w:p w14:paraId="38A328EB" w14:textId="77777777" w:rsidR="006E4AD1" w:rsidRPr="00B17E48" w:rsidRDefault="006E4AD1" w:rsidP="00B17E48">
      <w:pPr>
        <w:jc w:val="center"/>
        <w:rPr>
          <w:b/>
          <w:bCs/>
          <w:sz w:val="24"/>
          <w:szCs w:val="24"/>
        </w:rPr>
      </w:pPr>
      <w:r w:rsidRPr="00B17E48">
        <w:rPr>
          <w:b/>
          <w:bCs/>
          <w:sz w:val="24"/>
          <w:szCs w:val="24"/>
        </w:rPr>
        <w:t>Consentimiento Informado</w:t>
      </w:r>
    </w:p>
    <w:p w14:paraId="28F81833" w14:textId="77777777" w:rsidR="00B17E48" w:rsidRDefault="00B17E48" w:rsidP="006E4AD1">
      <w:pPr>
        <w:jc w:val="both"/>
      </w:pPr>
    </w:p>
    <w:p w14:paraId="7786A7AB" w14:textId="77777777" w:rsidR="00CF5728" w:rsidRDefault="00CF5728" w:rsidP="00CF5728">
      <w:pPr>
        <w:jc w:val="both"/>
      </w:pPr>
      <w:r>
        <w:t xml:space="preserve">En la ciudad de </w:t>
      </w:r>
      <w:r w:rsidRPr="00CF5728">
        <w:rPr>
          <w:highlight w:val="yellow"/>
        </w:rPr>
        <w:t>@Model.ComunaOficina</w:t>
      </w:r>
      <w:r>
        <w:t xml:space="preserve">, a </w:t>
      </w:r>
      <w:r w:rsidRPr="00CF5728">
        <w:rPr>
          <w:highlight w:val="yellow"/>
        </w:rPr>
        <w:t>@Model.FechaSesion</w:t>
      </w:r>
      <w:r>
        <w:t xml:space="preserve">, se ha realizado la primera sesión conjunta de mediación ante el mediador/a </w:t>
      </w:r>
      <w:r w:rsidRPr="00CF5728">
        <w:rPr>
          <w:highlight w:val="yellow"/>
        </w:rPr>
        <w:t>@Model.NombreMediador @Model.NombreComediador</w:t>
      </w:r>
      <w:r>
        <w:t xml:space="preserve">, perteneciente/s al centro de mediación </w:t>
      </w:r>
      <w:r w:rsidRPr="00CF5728">
        <w:rPr>
          <w:highlight w:val="yellow"/>
        </w:rPr>
        <w:t>@Model.RazonSocial, Rut @Model.RutRazonSocial</w:t>
      </w:r>
      <w:r>
        <w:t>; con la asistencia de los siguientes participantes:</w:t>
      </w:r>
    </w:p>
    <w:p w14:paraId="03DB4D6D" w14:textId="77777777" w:rsidR="00CF5728" w:rsidRDefault="00CF5728" w:rsidP="00CF5728">
      <w:pPr>
        <w:jc w:val="both"/>
      </w:pPr>
      <w:r w:rsidRPr="00CF5728">
        <w:rPr>
          <w:highlight w:val="yellow"/>
        </w:rPr>
        <w:t>@Html.Raw(Model.Partes)</w:t>
      </w:r>
    </w:p>
    <w:p w14:paraId="6DA5C673" w14:textId="6AD99CED" w:rsidR="00EB3E3A" w:rsidRDefault="00CF5728" w:rsidP="00CF5728">
      <w:pPr>
        <w:jc w:val="both"/>
      </w:pPr>
      <w:r w:rsidRPr="0038537D">
        <w:t xml:space="preserve">Por medio del presente documento se acredita que los participantes han sido informados detalladamente, en el discurso inicial realizado por </w:t>
      </w:r>
      <w:r w:rsidR="0003785C">
        <w:t>la persona mediadora</w:t>
      </w:r>
      <w:r w:rsidRPr="0038537D">
        <w:t xml:space="preserve"> al comienzo del proceso de mediación, de lo que a continuación se indica:</w:t>
      </w:r>
    </w:p>
    <w:p w14:paraId="606E557F" w14:textId="77777777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>La mediación es una forma pacífica y no adversarial de solucionar conflictos. Uno de sus objetivos es que los participantes, quienes son los protagonistas del proceso, busquen solución a sus conflictos a través del diálogo y la conversación.</w:t>
      </w:r>
    </w:p>
    <w:p w14:paraId="03D2CA9F" w14:textId="12171422" w:rsidR="007A26A2" w:rsidRPr="007A26A2" w:rsidRDefault="00056D98" w:rsidP="007A26A2">
      <w:pPr>
        <w:numPr>
          <w:ilvl w:val="0"/>
          <w:numId w:val="2"/>
        </w:numPr>
        <w:jc w:val="both"/>
      </w:pPr>
      <w:r>
        <w:t xml:space="preserve">La persona mediadora </w:t>
      </w:r>
      <w:r w:rsidR="007A26A2" w:rsidRPr="007A26A2">
        <w:t>es un tercero</w:t>
      </w:r>
      <w:r w:rsidR="00D70B18">
        <w:t>/a</w:t>
      </w:r>
      <w:r w:rsidR="007A26A2" w:rsidRPr="007A26A2">
        <w:t xml:space="preserve"> imparcial que guía y acompaña el proceso de comunicación, no siendo su rol opinar, emitir juicios ni proponer soluciones a los conflictos.</w:t>
      </w:r>
    </w:p>
    <w:p w14:paraId="48B3F54D" w14:textId="77777777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>Es un proceso voluntario, es decir, nadie está obligado a participar en mediación ni firmar un acuerdo.</w:t>
      </w:r>
    </w:p>
    <w:p w14:paraId="3AD66603" w14:textId="483BACF9" w:rsidR="007A26A2" w:rsidRPr="007A26A2" w:rsidRDefault="00056D98" w:rsidP="007A26A2">
      <w:pPr>
        <w:numPr>
          <w:ilvl w:val="0"/>
          <w:numId w:val="2"/>
        </w:numPr>
        <w:jc w:val="both"/>
      </w:pPr>
      <w:r>
        <w:t>La persona mediadora</w:t>
      </w:r>
      <w:r w:rsidR="007A26A2" w:rsidRPr="007A26A2">
        <w:t xml:space="preserve"> debe mantenerse imparcial a lo largo de todo el proceso de mediación, no debe tomar partido por ninguno de los participantes.</w:t>
      </w:r>
    </w:p>
    <w:p w14:paraId="4E144F2A" w14:textId="6A9FE8E4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 xml:space="preserve">Nada de lo que se trabaje en mediación puede ser divulgado fuera de este espacio (por ejemplo, el </w:t>
      </w:r>
      <w:r w:rsidR="00D70B18">
        <w:t xml:space="preserve">o la </w:t>
      </w:r>
      <w:r w:rsidRPr="007A26A2">
        <w:t xml:space="preserve">mediador/a no podría ser testigo en un juicio futuro si existiere, salvo que tomare conocimiento de maltrato de </w:t>
      </w:r>
      <w:r w:rsidR="00D70B18">
        <w:t>niños, niñas y/o adolescente</w:t>
      </w:r>
      <w:r w:rsidRPr="007A26A2">
        <w:t xml:space="preserve"> u otra causal legal o ética).</w:t>
      </w:r>
    </w:p>
    <w:p w14:paraId="7C2DE26F" w14:textId="71ABDF92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 xml:space="preserve">No se podrán mediar los casos donde </w:t>
      </w:r>
      <w:r w:rsidR="000C05DB">
        <w:t xml:space="preserve">la persona </w:t>
      </w:r>
      <w:r w:rsidR="004535CC">
        <w:t xml:space="preserve">mediadora </w:t>
      </w:r>
      <w:r w:rsidR="004535CC" w:rsidRPr="007A26A2">
        <w:t>pesquise</w:t>
      </w:r>
      <w:r w:rsidRPr="007A26A2">
        <w:t xml:space="preserve"> una dinámica de violencia intrafamiliar instalada en las interacciones entre los participantes de la mediación.</w:t>
      </w:r>
    </w:p>
    <w:p w14:paraId="0754B6E9" w14:textId="2EB3EF56" w:rsidR="007A26A2" w:rsidRPr="007A26A2" w:rsidRDefault="004535CC" w:rsidP="007A26A2">
      <w:pPr>
        <w:numPr>
          <w:ilvl w:val="0"/>
          <w:numId w:val="2"/>
        </w:numPr>
        <w:jc w:val="both"/>
      </w:pPr>
      <w:r>
        <w:t>La persona mediadora</w:t>
      </w:r>
      <w:r w:rsidR="007A26A2" w:rsidRPr="007A26A2">
        <w:t xml:space="preserve"> deberá velar en todo momento por el interés superior del niño/a </w:t>
      </w:r>
      <w:r w:rsidR="00234F55">
        <w:t>y/</w:t>
      </w:r>
      <w:r w:rsidR="007A26A2" w:rsidRPr="007A26A2">
        <w:t>o adolescente, siendo los intereses de éstos el foco del proceso de mediación y los que guíen la toma de decisiones por parte de los adultos responsables.</w:t>
      </w:r>
    </w:p>
    <w:p w14:paraId="57F9C26A" w14:textId="6F56C608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lastRenderedPageBreak/>
        <w:t>Si fuese necesario, como un aporte al proceso de mediación, podrán participar terceras personas, niños, niñas o adolescentes con previo acuerdo de los adultos responsables y de</w:t>
      </w:r>
      <w:r w:rsidR="00234F55">
        <w:t xml:space="preserve"> la persona mediadora a cargo</w:t>
      </w:r>
      <w:r w:rsidRPr="007A26A2">
        <w:t xml:space="preserve"> del proceso.</w:t>
      </w:r>
    </w:p>
    <w:p w14:paraId="23A43812" w14:textId="6A53069B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>En casos sobre regulación de alimentos, la persona que debe recibir el dinero por concepto de pensión de alimentos (alimentario</w:t>
      </w:r>
      <w:r w:rsidR="00CB5634">
        <w:t>/a</w:t>
      </w:r>
      <w:r w:rsidRPr="007A26A2">
        <w:t>) tiene el derecho de recurrir a solicitar alimentos provisorios al tribunal, mientras dure el proceso de mediación.</w:t>
      </w:r>
    </w:p>
    <w:p w14:paraId="6E07E307" w14:textId="53C68762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 xml:space="preserve">Si los participantes lo requieren </w:t>
      </w:r>
      <w:r w:rsidR="00B04F10">
        <w:t>y</w:t>
      </w:r>
      <w:r w:rsidRPr="007A26A2">
        <w:t xml:space="preserve"> el </w:t>
      </w:r>
      <w:r w:rsidR="003B6CE8">
        <w:t xml:space="preserve">o la </w:t>
      </w:r>
      <w:r w:rsidRPr="007A26A2">
        <w:t>mediador/a lo estima convenient</w:t>
      </w:r>
      <w:r w:rsidR="00200430">
        <w:t>e, se podrá</w:t>
      </w:r>
      <w:r w:rsidR="003B7CE4">
        <w:t xml:space="preserve">n resolver dudas con </w:t>
      </w:r>
      <w:r w:rsidR="00CE68BC">
        <w:t xml:space="preserve">una persona abogada, ya sea </w:t>
      </w:r>
      <w:r w:rsidR="00DF3EFC">
        <w:t>que</w:t>
      </w:r>
      <w:r w:rsidR="00200430">
        <w:t xml:space="preserve"> se trate de un</w:t>
      </w:r>
      <w:r w:rsidR="007A7915">
        <w:t>/a</w:t>
      </w:r>
      <w:r w:rsidR="00200430">
        <w:t xml:space="preserve"> profesional</w:t>
      </w:r>
      <w:r w:rsidR="00DF3EFC">
        <w:t xml:space="preserve"> </w:t>
      </w:r>
      <w:r w:rsidR="00CE68BC">
        <w:t xml:space="preserve">de </w:t>
      </w:r>
      <w:r w:rsidRPr="007A26A2">
        <w:t>la Corporación de Asistencia Judicial o un</w:t>
      </w:r>
      <w:r w:rsidR="007A7915">
        <w:t>/a profesional</w:t>
      </w:r>
      <w:r w:rsidRPr="007A26A2">
        <w:t xml:space="preserve"> </w:t>
      </w:r>
      <w:r w:rsidR="007A7915">
        <w:t>contratado/a por las partes</w:t>
      </w:r>
      <w:r w:rsidR="009E22CC">
        <w:t xml:space="preserve">, </w:t>
      </w:r>
      <w:r w:rsidR="00172301">
        <w:t xml:space="preserve">respecto </w:t>
      </w:r>
      <w:r w:rsidRPr="007A26A2">
        <w:t>de los temas que estén abordando en la mediación.</w:t>
      </w:r>
    </w:p>
    <w:p w14:paraId="3F9D713D" w14:textId="34FFC202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 xml:space="preserve">En caso de lograr un acuerdo en mediación, y siendo </w:t>
      </w:r>
      <w:r w:rsidR="00D85422" w:rsidRPr="007A26A2">
        <w:t>este</w:t>
      </w:r>
      <w:r w:rsidRPr="007A26A2">
        <w:t xml:space="preserve"> aprobado judicialmente, tendrá el mismo valor que una sentencia judicial (su eventual incumplimiento podrá ser exigible en tribunales).</w:t>
      </w:r>
    </w:p>
    <w:p w14:paraId="160E0801" w14:textId="77777777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>Reglas de funcionamiento: hablar por turnos, no interrumpir, no se permitirán agresiones verbales ni físicas.</w:t>
      </w:r>
    </w:p>
    <w:p w14:paraId="3355D5D9" w14:textId="77777777" w:rsidR="007A26A2" w:rsidRPr="007A26A2" w:rsidRDefault="007A26A2" w:rsidP="007A26A2">
      <w:pPr>
        <w:numPr>
          <w:ilvl w:val="0"/>
          <w:numId w:val="2"/>
        </w:numPr>
        <w:jc w:val="both"/>
      </w:pPr>
      <w:r w:rsidRPr="007A26A2">
        <w:t>Podrán realizarse tanto sesiones conjuntas como individuales con cada uno de los participantes.</w:t>
      </w:r>
    </w:p>
    <w:p w14:paraId="77C9DF68" w14:textId="07393AC6" w:rsidR="00E11045" w:rsidRPr="0054410E" w:rsidRDefault="00E11045" w:rsidP="00E11045">
      <w:pPr>
        <w:jc w:val="both"/>
      </w:pPr>
      <w:r w:rsidRPr="0054410E">
        <w:t xml:space="preserve">Por otra parte, en virtud de lo establecido en </w:t>
      </w:r>
      <w:r w:rsidRPr="0054410E">
        <w:rPr>
          <w:rFonts w:cstheme="minorHAnsi"/>
        </w:rPr>
        <w:t xml:space="preserve">el artículo 106 inciso final, de la Ley </w:t>
      </w:r>
      <w:r>
        <w:rPr>
          <w:rFonts w:cstheme="minorHAnsi"/>
        </w:rPr>
        <w:t>N°</w:t>
      </w:r>
      <w:r w:rsidRPr="0054410E">
        <w:rPr>
          <w:rFonts w:cstheme="minorHAnsi"/>
        </w:rPr>
        <w:t xml:space="preserve">19.968 que Crea los Tribunales de Familia, </w:t>
      </w:r>
      <w:r w:rsidR="00F403A1">
        <w:rPr>
          <w:rFonts w:cstheme="minorHAnsi"/>
        </w:rPr>
        <w:t xml:space="preserve">las partes </w:t>
      </w:r>
      <w:r w:rsidRPr="0054410E">
        <w:t>declar</w:t>
      </w:r>
      <w:r w:rsidR="00F403A1">
        <w:t>an</w:t>
      </w:r>
      <w:r w:rsidRPr="0054410E">
        <w:t xml:space="preserve"> que:</w:t>
      </w:r>
    </w:p>
    <w:p w14:paraId="168C9803" w14:textId="77777777" w:rsidR="00E11045" w:rsidRPr="0054410E" w:rsidRDefault="00E11045" w:rsidP="00E1104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>No existen condenas por delitos constitutivos de violencia intrafamiliar entre las partes.</w:t>
      </w:r>
    </w:p>
    <w:p w14:paraId="2AB06F0D" w14:textId="77777777" w:rsidR="00E11045" w:rsidRPr="0054410E" w:rsidRDefault="00E11045" w:rsidP="00E1104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>No existen anotaciones en el Registro Especial, establecido en el artículo 12 de la ley N°20.066, por agredir a la otra parte.</w:t>
      </w:r>
    </w:p>
    <w:p w14:paraId="4DA115E5" w14:textId="77777777" w:rsidR="00E11045" w:rsidRPr="0054410E" w:rsidRDefault="00E11045" w:rsidP="00E1104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 xml:space="preserve">No existe una medida cautelar o de protección vigente entre las partes. </w:t>
      </w:r>
    </w:p>
    <w:p w14:paraId="37D1D9AB" w14:textId="77777777" w:rsidR="00E11045" w:rsidRDefault="00E11045" w:rsidP="00E1104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2"/>
        <w:contextualSpacing w:val="0"/>
        <w:jc w:val="both"/>
        <w:rPr>
          <w:rFonts w:cstheme="minorHAnsi"/>
        </w:rPr>
      </w:pPr>
      <w:r w:rsidRPr="0054410E">
        <w:rPr>
          <w:rFonts w:cstheme="minorHAnsi"/>
        </w:rPr>
        <w:t>No existe una suspensión condicional de la dictación de la sentencia o del procedimiento, según corresponda.</w:t>
      </w:r>
    </w:p>
    <w:p w14:paraId="3C214816" w14:textId="77777777" w:rsidR="00964CF5" w:rsidRPr="00964CF5" w:rsidRDefault="00964CF5" w:rsidP="00964CF5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</w:rPr>
      </w:pPr>
    </w:p>
    <w:p w14:paraId="4FA6C6AD" w14:textId="21576E1F" w:rsidR="006E4AD1" w:rsidRPr="006E4AD1" w:rsidRDefault="006E4AD1" w:rsidP="006E4AD1">
      <w:pPr>
        <w:jc w:val="both"/>
      </w:pPr>
      <w:r w:rsidRPr="006E4AD1">
        <w:t xml:space="preserve">Este consentimiento puede ser firmado solamente una vez que </w:t>
      </w:r>
      <w:r w:rsidR="00716C2C">
        <w:t xml:space="preserve">la persona </w:t>
      </w:r>
      <w:r w:rsidRPr="006E4AD1">
        <w:t>mediadora ha realizado el discurso inicial (no antes del inicio de</w:t>
      </w:r>
      <w:r w:rsidR="0001021C">
        <w:t xml:space="preserve"> </w:t>
      </w:r>
      <w:r w:rsidRPr="006E4AD1">
        <w:t>la sesión de mediación).</w:t>
      </w:r>
    </w:p>
    <w:p w14:paraId="1E1D8D2E" w14:textId="62830AAE" w:rsidR="006E4AD1" w:rsidRDefault="00964CF5" w:rsidP="006E4AD1">
      <w:pPr>
        <w:jc w:val="both"/>
      </w:pPr>
      <w:r w:rsidRPr="006E4AD1">
        <w:t>Que,</w:t>
      </w:r>
      <w:r w:rsidR="006E4AD1" w:rsidRPr="006E4AD1">
        <w:t xml:space="preserve"> con la información anterior, los participantes han decidido de forma libre y espontánea lo siguiente:</w:t>
      </w:r>
    </w:p>
    <w:p w14:paraId="33214741" w14:textId="77777777" w:rsidR="0038537D" w:rsidRDefault="0038537D" w:rsidP="006E4AD1">
      <w:pPr>
        <w:jc w:val="both"/>
      </w:pPr>
    </w:p>
    <w:tbl>
      <w:tblPr>
        <w:tblStyle w:val="Tablaconcuadrcula"/>
        <w:tblW w:w="8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92"/>
        <w:gridCol w:w="476"/>
        <w:gridCol w:w="1842"/>
        <w:gridCol w:w="567"/>
        <w:gridCol w:w="1370"/>
        <w:gridCol w:w="473"/>
        <w:gridCol w:w="1461"/>
      </w:tblGrid>
      <w:tr w:rsidR="0001021C" w:rsidRPr="008B6987" w14:paraId="5DBD458C" w14:textId="77777777" w:rsidTr="0038537D">
        <w:trPr>
          <w:trHeight w:val="370"/>
        </w:trPr>
        <w:tc>
          <w:tcPr>
            <w:tcW w:w="534" w:type="dxa"/>
            <w:tcBorders>
              <w:top w:val="double" w:sz="6" w:space="0" w:color="auto"/>
            </w:tcBorders>
          </w:tcPr>
          <w:p w14:paraId="1046D604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double" w:sz="6" w:space="0" w:color="auto"/>
            </w:tcBorders>
          </w:tcPr>
          <w:p w14:paraId="088D16FF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Continuar en el proceso</w:t>
            </w:r>
          </w:p>
        </w:tc>
        <w:tc>
          <w:tcPr>
            <w:tcW w:w="476" w:type="dxa"/>
            <w:tcBorders>
              <w:top w:val="double" w:sz="6" w:space="0" w:color="auto"/>
            </w:tcBorders>
          </w:tcPr>
          <w:p w14:paraId="27B7E950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557E7023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No continuar con el proceso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6EA0D2E4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6" w:space="0" w:color="auto"/>
            </w:tcBorders>
          </w:tcPr>
          <w:p w14:paraId="2AC76F6A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Continuar en el proceso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14:paraId="4009EF47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double" w:sz="6" w:space="0" w:color="auto"/>
            </w:tcBorders>
          </w:tcPr>
          <w:p w14:paraId="582D525B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No continuar con el proceso</w:t>
            </w:r>
          </w:p>
        </w:tc>
      </w:tr>
      <w:tr w:rsidR="0001021C" w:rsidRPr="008B6987" w14:paraId="32E3B43B" w14:textId="77777777" w:rsidTr="00CF5F3F">
        <w:trPr>
          <w:trHeight w:val="1448"/>
        </w:trPr>
        <w:tc>
          <w:tcPr>
            <w:tcW w:w="4644" w:type="dxa"/>
            <w:gridSpan w:val="4"/>
            <w:tcBorders>
              <w:bottom w:val="double" w:sz="4" w:space="0" w:color="auto"/>
            </w:tcBorders>
          </w:tcPr>
          <w:p w14:paraId="4121F98E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F6F936D" w14:textId="77777777" w:rsidR="0001021C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78F8D3F6" w14:textId="77777777" w:rsidR="0038537D" w:rsidRPr="008B6987" w:rsidRDefault="0038537D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677AA72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7D295D5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_____________________________</w:t>
            </w:r>
          </w:p>
          <w:p w14:paraId="24CACB9F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 xml:space="preserve">Nombre Participante </w:t>
            </w:r>
            <w:proofErr w:type="spellStart"/>
            <w:r w:rsidRPr="008B6987">
              <w:rPr>
                <w:rFonts w:ascii="Calibri" w:hAnsi="Calibri"/>
                <w:b w:val="0"/>
                <w:sz w:val="18"/>
                <w:szCs w:val="18"/>
              </w:rPr>
              <w:t>N°</w:t>
            </w:r>
            <w:proofErr w:type="spellEnd"/>
            <w:r w:rsidRPr="008B6987">
              <w:rPr>
                <w:rFonts w:ascii="Calibri" w:hAnsi="Calibri"/>
                <w:b w:val="0"/>
                <w:sz w:val="18"/>
                <w:szCs w:val="18"/>
              </w:rPr>
              <w:t xml:space="preserve"> 1</w:t>
            </w:r>
          </w:p>
          <w:p w14:paraId="12F251EE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RUT</w:t>
            </w:r>
          </w:p>
          <w:p w14:paraId="753DCFA7" w14:textId="77777777" w:rsidR="0001021C" w:rsidRPr="008B6987" w:rsidRDefault="0001021C" w:rsidP="00362FD4">
            <w:pPr>
              <w:pStyle w:val="Textoindependiente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871" w:type="dxa"/>
            <w:gridSpan w:val="4"/>
            <w:tcBorders>
              <w:bottom w:val="double" w:sz="4" w:space="0" w:color="auto"/>
            </w:tcBorders>
          </w:tcPr>
          <w:p w14:paraId="5F5442B6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E902280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A884EEF" w14:textId="77777777" w:rsidR="0001021C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7D585C32" w14:textId="77777777" w:rsidR="0038537D" w:rsidRPr="008B6987" w:rsidRDefault="0038537D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A48F6C6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_____________________________</w:t>
            </w:r>
          </w:p>
          <w:p w14:paraId="7C2FDC7F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 xml:space="preserve">Nombre Participante </w:t>
            </w:r>
            <w:proofErr w:type="spellStart"/>
            <w:r w:rsidRPr="008B6987">
              <w:rPr>
                <w:rFonts w:ascii="Calibri" w:hAnsi="Calibri"/>
                <w:b w:val="0"/>
                <w:sz w:val="18"/>
                <w:szCs w:val="18"/>
              </w:rPr>
              <w:t>N°</w:t>
            </w:r>
            <w:proofErr w:type="spellEnd"/>
            <w:r w:rsidRPr="008B6987">
              <w:rPr>
                <w:rFonts w:ascii="Calibri" w:hAnsi="Calibri"/>
                <w:b w:val="0"/>
                <w:sz w:val="18"/>
                <w:szCs w:val="18"/>
              </w:rPr>
              <w:t xml:space="preserve"> 2</w:t>
            </w:r>
          </w:p>
          <w:p w14:paraId="532AFAC8" w14:textId="77777777" w:rsidR="0001021C" w:rsidRPr="008B6987" w:rsidRDefault="0001021C" w:rsidP="00362FD4">
            <w:pPr>
              <w:pStyle w:val="Textoindependiente"/>
              <w:jc w:val="center"/>
              <w:rPr>
                <w:rFonts w:ascii="Calibri" w:hAnsi="Calibri"/>
                <w:b w:val="0"/>
                <w:sz w:val="18"/>
                <w:szCs w:val="18"/>
              </w:rPr>
            </w:pPr>
            <w:r w:rsidRPr="008B6987">
              <w:rPr>
                <w:rFonts w:ascii="Calibri" w:hAnsi="Calibri"/>
                <w:b w:val="0"/>
                <w:sz w:val="18"/>
                <w:szCs w:val="18"/>
              </w:rPr>
              <w:t>RUT</w:t>
            </w:r>
          </w:p>
        </w:tc>
      </w:tr>
    </w:tbl>
    <w:p w14:paraId="3C186E28" w14:textId="77777777" w:rsidR="0001021C" w:rsidRDefault="0001021C" w:rsidP="006E4AD1">
      <w:pPr>
        <w:jc w:val="both"/>
      </w:pPr>
    </w:p>
    <w:p w14:paraId="6C88B03B" w14:textId="77777777" w:rsidR="0001021C" w:rsidRDefault="0001021C" w:rsidP="006E4AD1">
      <w:pPr>
        <w:jc w:val="both"/>
      </w:pPr>
    </w:p>
    <w:p w14:paraId="20F2ED61" w14:textId="77777777" w:rsidR="0001021C" w:rsidRDefault="0001021C" w:rsidP="006E4AD1">
      <w:pPr>
        <w:jc w:val="both"/>
      </w:pPr>
    </w:p>
    <w:sectPr w:rsidR="0001021C" w:rsidSect="0001021C">
      <w:pgSz w:w="12240" w:h="15840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egrit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55DE2"/>
    <w:multiLevelType w:val="multilevel"/>
    <w:tmpl w:val="E82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337EC"/>
    <w:multiLevelType w:val="hybridMultilevel"/>
    <w:tmpl w:val="C292D4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89F"/>
    <w:multiLevelType w:val="hybridMultilevel"/>
    <w:tmpl w:val="C292D4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41849"/>
    <w:multiLevelType w:val="hybridMultilevel"/>
    <w:tmpl w:val="D6A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27897">
    <w:abstractNumId w:val="3"/>
  </w:num>
  <w:num w:numId="2" w16cid:durableId="1222592336">
    <w:abstractNumId w:val="0"/>
  </w:num>
  <w:num w:numId="3" w16cid:durableId="881864702">
    <w:abstractNumId w:val="2"/>
  </w:num>
  <w:num w:numId="4" w16cid:durableId="2170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1"/>
    <w:rsid w:val="0001021C"/>
    <w:rsid w:val="00034AF9"/>
    <w:rsid w:val="0003785C"/>
    <w:rsid w:val="00056D98"/>
    <w:rsid w:val="00060184"/>
    <w:rsid w:val="0008524F"/>
    <w:rsid w:val="000C05DB"/>
    <w:rsid w:val="000F0815"/>
    <w:rsid w:val="00101342"/>
    <w:rsid w:val="00172301"/>
    <w:rsid w:val="00200430"/>
    <w:rsid w:val="00234F55"/>
    <w:rsid w:val="00316EB8"/>
    <w:rsid w:val="00331A67"/>
    <w:rsid w:val="0038537D"/>
    <w:rsid w:val="003B6CE8"/>
    <w:rsid w:val="003B7CE4"/>
    <w:rsid w:val="004535CC"/>
    <w:rsid w:val="0047433F"/>
    <w:rsid w:val="004772F8"/>
    <w:rsid w:val="004E163E"/>
    <w:rsid w:val="00504DD5"/>
    <w:rsid w:val="00546C94"/>
    <w:rsid w:val="00630AD7"/>
    <w:rsid w:val="00632A5D"/>
    <w:rsid w:val="00692A3B"/>
    <w:rsid w:val="006A3403"/>
    <w:rsid w:val="006E4AD1"/>
    <w:rsid w:val="00716C2C"/>
    <w:rsid w:val="0073279B"/>
    <w:rsid w:val="00741A42"/>
    <w:rsid w:val="007A26A2"/>
    <w:rsid w:val="007A7915"/>
    <w:rsid w:val="007F6D52"/>
    <w:rsid w:val="008B633E"/>
    <w:rsid w:val="00917E85"/>
    <w:rsid w:val="00964CF5"/>
    <w:rsid w:val="00997D87"/>
    <w:rsid w:val="009E22CC"/>
    <w:rsid w:val="009E5BA7"/>
    <w:rsid w:val="00AA10EB"/>
    <w:rsid w:val="00AF3194"/>
    <w:rsid w:val="00B00F1E"/>
    <w:rsid w:val="00B04F10"/>
    <w:rsid w:val="00B17E48"/>
    <w:rsid w:val="00B344B3"/>
    <w:rsid w:val="00B52166"/>
    <w:rsid w:val="00B82A9B"/>
    <w:rsid w:val="00C1338B"/>
    <w:rsid w:val="00C67113"/>
    <w:rsid w:val="00C83C11"/>
    <w:rsid w:val="00CB5634"/>
    <w:rsid w:val="00CC226B"/>
    <w:rsid w:val="00CE68BC"/>
    <w:rsid w:val="00CF5728"/>
    <w:rsid w:val="00CF5F3F"/>
    <w:rsid w:val="00D30CA9"/>
    <w:rsid w:val="00D70B18"/>
    <w:rsid w:val="00D85422"/>
    <w:rsid w:val="00DA56BE"/>
    <w:rsid w:val="00DC6AF3"/>
    <w:rsid w:val="00DF3EFC"/>
    <w:rsid w:val="00E11045"/>
    <w:rsid w:val="00E15DFD"/>
    <w:rsid w:val="00EB2887"/>
    <w:rsid w:val="00EB3E3A"/>
    <w:rsid w:val="00ED03A9"/>
    <w:rsid w:val="00ED0430"/>
    <w:rsid w:val="00ED0D42"/>
    <w:rsid w:val="00F10D79"/>
    <w:rsid w:val="00F403A1"/>
    <w:rsid w:val="00F85E1E"/>
    <w:rsid w:val="00F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A535"/>
  <w15:chartTrackingRefBased/>
  <w15:docId w15:val="{BE43C1E9-13EE-42D3-B82A-8CE5EB8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AD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1021C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1021C"/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table" w:styleId="Tablaconcuadrculaclara">
    <w:name w:val="Grid Table Light"/>
    <w:basedOn w:val="Tablanormal"/>
    <w:uiPriority w:val="40"/>
    <w:rsid w:val="0001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0102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102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0102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102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0102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01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Rodrigo González Herrera</dc:creator>
  <cp:keywords/>
  <dc:description/>
  <cp:lastModifiedBy>Pamela Donoso Norambuena</cp:lastModifiedBy>
  <cp:revision>61</cp:revision>
  <dcterms:created xsi:type="dcterms:W3CDTF">2024-07-31T20:31:00Z</dcterms:created>
  <dcterms:modified xsi:type="dcterms:W3CDTF">2024-07-31T22:48:00Z</dcterms:modified>
</cp:coreProperties>
</file>